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6E" w:rsidRDefault="00BC7362" w:rsidP="0033086E">
      <w:pPr>
        <w:jc w:val="center"/>
        <w:rPr>
          <w:rFonts w:ascii="Times New Roman" w:hAnsi="Times New Roman"/>
          <w:color w:val="1F497D"/>
          <w:lang w:eastAsia="fr-FR"/>
        </w:rPr>
      </w:pPr>
      <w:r>
        <w:rPr>
          <w:noProof/>
          <w:lang w:eastAsia="fr-FR"/>
        </w:rPr>
        <w:drawing>
          <wp:anchor distT="0" distB="0" distL="114300" distR="114300" simplePos="0" relativeHeight="251660288" behindDoc="1" locked="0" layoutInCell="1" allowOverlap="1" wp14:anchorId="4CDDA3CB" wp14:editId="6DE18B45">
            <wp:simplePos x="0" y="0"/>
            <wp:positionH relativeFrom="column">
              <wp:posOffset>-26035</wp:posOffset>
            </wp:positionH>
            <wp:positionV relativeFrom="paragraph">
              <wp:posOffset>-652145</wp:posOffset>
            </wp:positionV>
            <wp:extent cx="795655" cy="1314450"/>
            <wp:effectExtent l="0" t="0" r="4445" b="0"/>
            <wp:wrapTight wrapText="bothSides">
              <wp:wrapPolygon edited="0">
                <wp:start x="9309" y="0"/>
                <wp:lineTo x="8792" y="0"/>
                <wp:lineTo x="1034" y="5009"/>
                <wp:lineTo x="3103" y="10017"/>
                <wp:lineTo x="1551" y="11583"/>
                <wp:lineTo x="2069" y="13774"/>
                <wp:lineTo x="4654" y="15026"/>
                <wp:lineTo x="0" y="16278"/>
                <wp:lineTo x="0" y="21287"/>
                <wp:lineTo x="3620" y="21287"/>
                <wp:lineTo x="4654" y="20035"/>
                <wp:lineTo x="21204" y="19409"/>
                <wp:lineTo x="21204" y="17843"/>
                <wp:lineTo x="16549" y="15026"/>
                <wp:lineTo x="19135" y="14087"/>
                <wp:lineTo x="20169" y="11583"/>
                <wp:lineTo x="20169" y="4696"/>
                <wp:lineTo x="12929" y="0"/>
                <wp:lineTo x="11895" y="0"/>
                <wp:lineTo x="9309" y="0"/>
              </wp:wrapPolygon>
            </wp:wrapTight>
            <wp:docPr id="2" name="Image 2" descr="https://portail.sdis78.fr/upload/docs/image/gif/2013-12/logo-sdis-78-sans-txt-nvelle-version-2013_2013-12-09_14-54-9_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sdis78.fr/upload/docs/image/gif/2013-12/logo-sdis-78-sans-txt-nvelle-version-2013_2013-12-09_14-54-9_80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65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15C96E30" wp14:editId="6B94F73C">
            <wp:simplePos x="0" y="0"/>
            <wp:positionH relativeFrom="column">
              <wp:posOffset>4961890</wp:posOffset>
            </wp:positionH>
            <wp:positionV relativeFrom="paragraph">
              <wp:posOffset>-614045</wp:posOffset>
            </wp:positionV>
            <wp:extent cx="1008380" cy="1003300"/>
            <wp:effectExtent l="114300" t="0" r="229870" b="177800"/>
            <wp:wrapTight wrapText="bothSides">
              <wp:wrapPolygon edited="0">
                <wp:start x="5305" y="410"/>
                <wp:lineTo x="-408" y="1230"/>
                <wp:lineTo x="-2448" y="20916"/>
                <wp:lineTo x="-1632" y="22557"/>
                <wp:lineTo x="13466" y="25018"/>
                <wp:lineTo x="19179" y="25018"/>
                <wp:lineTo x="19587" y="24197"/>
                <wp:lineTo x="23259" y="21327"/>
                <wp:lineTo x="26116" y="5332"/>
                <wp:lineTo x="14690" y="1230"/>
                <wp:lineTo x="6937" y="410"/>
                <wp:lineTo x="5305" y="41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380" cy="10033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33086E">
        <w:rPr>
          <w:rFonts w:ascii="Times New Roman" w:hAnsi="Times New Roman"/>
          <w:color w:val="1F497D"/>
          <w:lang w:eastAsia="fr-FR"/>
        </w:rPr>
        <w:t xml:space="preserve">RISQUES LIES A LA CONSOMATION DE COMPLEMENTS </w:t>
      </w:r>
    </w:p>
    <w:p w:rsidR="0033086E" w:rsidRDefault="0033086E" w:rsidP="0033086E">
      <w:pPr>
        <w:jc w:val="center"/>
        <w:rPr>
          <w:rFonts w:ascii="Times New Roman" w:hAnsi="Times New Roman"/>
          <w:color w:val="1F497D"/>
          <w:lang w:eastAsia="fr-FR"/>
        </w:rPr>
      </w:pPr>
      <w:r>
        <w:rPr>
          <w:rFonts w:ascii="Times New Roman" w:hAnsi="Times New Roman"/>
          <w:color w:val="1F497D"/>
          <w:lang w:eastAsia="fr-FR"/>
        </w:rPr>
        <w:t>ALIMENTAIRES DESTINES AUX SPORTIFS</w:t>
      </w:r>
    </w:p>
    <w:p w:rsidR="00B9554F" w:rsidRDefault="00B9554F" w:rsidP="00B9554F">
      <w:pPr>
        <w:spacing w:before="100" w:beforeAutospacing="1" w:after="100" w:afterAutospacing="1"/>
        <w:rPr>
          <w:rFonts w:ascii="Times New Roman" w:hAnsi="Times New Roman"/>
          <w:color w:val="1F497D"/>
          <w:sz w:val="18"/>
          <w:lang w:eastAsia="fr-FR"/>
        </w:rPr>
      </w:pP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noProof/>
          <w:sz w:val="18"/>
          <w:lang w:eastAsia="fr-FR"/>
        </w:rPr>
        <w:drawing>
          <wp:anchor distT="0" distB="0" distL="114300" distR="114300" simplePos="0" relativeHeight="251658240" behindDoc="0" locked="0" layoutInCell="1" allowOverlap="1" wp14:anchorId="1D3C73B9" wp14:editId="33304ECF">
            <wp:simplePos x="0" y="0"/>
            <wp:positionH relativeFrom="column">
              <wp:posOffset>8255</wp:posOffset>
            </wp:positionH>
            <wp:positionV relativeFrom="paragraph">
              <wp:posOffset>25400</wp:posOffset>
            </wp:positionV>
            <wp:extent cx="2165350" cy="3021330"/>
            <wp:effectExtent l="0" t="0" r="635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350" cy="3021330"/>
                    </a:xfrm>
                    <a:prstGeom prst="rect">
                      <a:avLst/>
                    </a:prstGeom>
                    <a:noFill/>
                  </pic:spPr>
                </pic:pic>
              </a:graphicData>
            </a:graphic>
            <wp14:sizeRelH relativeFrom="page">
              <wp14:pctWidth>0</wp14:pctWidth>
            </wp14:sizeRelH>
            <wp14:sizeRelV relativeFrom="page">
              <wp14:pctHeight>0</wp14:pctHeight>
            </wp14:sizeRelV>
          </wp:anchor>
        </w:drawing>
      </w:r>
      <w:r w:rsidRPr="0033086E">
        <w:rPr>
          <w:rFonts w:ascii="Times New Roman" w:hAnsi="Times New Roman"/>
          <w:color w:val="1F497D"/>
          <w:sz w:val="18"/>
          <w:lang w:eastAsia="fr-FR"/>
        </w:rPr>
        <w:t>L'Agence nationale de sécurité sanitaire de l'alimentation, de l'environnement et du travail (Anses) a étudié 49 signalements d'effets indésirables susceptibles d'être liés à la consommation, par les sportifs, de compléments alimentaire</w:t>
      </w:r>
      <w:r w:rsidR="00AB50EB">
        <w:rPr>
          <w:rFonts w:ascii="Times New Roman" w:hAnsi="Times New Roman"/>
          <w:color w:val="1F497D"/>
          <w:sz w:val="18"/>
          <w:lang w:eastAsia="fr-FR"/>
        </w:rPr>
        <w:t>s</w:t>
      </w:r>
      <w:r w:rsidRPr="0033086E">
        <w:rPr>
          <w:rFonts w:ascii="Times New Roman" w:hAnsi="Times New Roman"/>
          <w:color w:val="1F497D"/>
          <w:sz w:val="18"/>
          <w:lang w:eastAsia="fr-FR"/>
        </w:rPr>
        <w:t xml:space="preserve"> visant à augmenter le développement musculaire et à la diminution de la masse grasse. Les pathologies retrouvées </w:t>
      </w:r>
      <w:r w:rsidR="00AB50EB">
        <w:rPr>
          <w:rFonts w:ascii="Times New Roman" w:hAnsi="Times New Roman"/>
          <w:color w:val="1F497D"/>
          <w:sz w:val="18"/>
          <w:lang w:eastAsia="fr-FR"/>
        </w:rPr>
        <w:t xml:space="preserve">chez les consommateurs </w:t>
      </w:r>
      <w:r w:rsidRPr="0033086E">
        <w:rPr>
          <w:rFonts w:ascii="Times New Roman" w:hAnsi="Times New Roman"/>
          <w:color w:val="1F497D"/>
          <w:sz w:val="18"/>
          <w:lang w:eastAsia="fr-FR"/>
        </w:rPr>
        <w:t>sont majoritairement d'ordre cardiovasculaire (tachycardie, arythmie et accident vasculaire cérébral) et psychiatrique (</w:t>
      </w:r>
      <w:r w:rsidR="00AB50EB">
        <w:rPr>
          <w:rFonts w:ascii="Times New Roman" w:hAnsi="Times New Roman"/>
          <w:color w:val="1F497D"/>
          <w:sz w:val="18"/>
          <w:lang w:eastAsia="fr-FR"/>
        </w:rPr>
        <w:t xml:space="preserve">anxiété </w:t>
      </w:r>
      <w:r w:rsidRPr="0033086E">
        <w:rPr>
          <w:rFonts w:ascii="Times New Roman" w:hAnsi="Times New Roman"/>
          <w:color w:val="1F497D"/>
          <w:sz w:val="18"/>
          <w:lang w:eastAsia="fr-FR"/>
        </w:rPr>
        <w:t>et nervosité), mais le foie, le rein, la peau et le tube digestif peuvent aussi être concernés.</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 xml:space="preserve">Les signalements de </w:t>
      </w:r>
      <w:proofErr w:type="spellStart"/>
      <w:r w:rsidRPr="0033086E">
        <w:rPr>
          <w:rFonts w:ascii="Times New Roman" w:hAnsi="Times New Roman"/>
          <w:color w:val="1F497D"/>
          <w:sz w:val="18"/>
          <w:lang w:eastAsia="fr-FR"/>
        </w:rPr>
        <w:t>nutrivigilance</w:t>
      </w:r>
      <w:proofErr w:type="spellEnd"/>
      <w:r w:rsidRPr="0033086E">
        <w:rPr>
          <w:rFonts w:ascii="Times New Roman" w:hAnsi="Times New Roman"/>
          <w:color w:val="1F497D"/>
          <w:sz w:val="18"/>
          <w:lang w:eastAsia="fr-FR"/>
        </w:rPr>
        <w:t xml:space="preserve"> sont largement sous-estimés, à l’instar de la pharmacovigilance ou de la matériovigilance. </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 xml:space="preserve">La consommation de ces produits est en hausse constante. Traditionnellement utilisé par les culturistes, elle se développe dans toutes les disciplines. </w:t>
      </w:r>
      <w:r w:rsidRPr="0033086E">
        <w:rPr>
          <w:rFonts w:ascii="Times New Roman" w:hAnsi="Times New Roman"/>
          <w:color w:val="1F497D"/>
          <w:sz w:val="18"/>
          <w:u w:val="single"/>
          <w:lang w:eastAsia="fr-FR"/>
        </w:rPr>
        <w:t>Le milieu sapeur-pompier n’est certainement pas épargné</w:t>
      </w:r>
      <w:r w:rsidRPr="0033086E">
        <w:rPr>
          <w:rFonts w:ascii="Times New Roman" w:hAnsi="Times New Roman"/>
          <w:color w:val="1F497D"/>
          <w:sz w:val="18"/>
          <w:lang w:eastAsia="fr-FR"/>
        </w:rPr>
        <w:t>.</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La consommation se fait souvent sans suivi médical (bouche à oreille, forum sur internet, etc…)</w:t>
      </w:r>
    </w:p>
    <w:p w:rsidR="0033086E" w:rsidRPr="0033086E" w:rsidRDefault="0033086E" w:rsidP="00AB50EB">
      <w:pPr>
        <w:spacing w:before="100" w:beforeAutospacing="1" w:after="100" w:afterAutospacing="1"/>
        <w:jc w:val="both"/>
        <w:rPr>
          <w:sz w:val="18"/>
        </w:rPr>
      </w:pPr>
      <w:r w:rsidRPr="0033086E">
        <w:rPr>
          <w:rFonts w:ascii="Times New Roman" w:hAnsi="Times New Roman"/>
          <w:color w:val="1F497D"/>
          <w:sz w:val="18"/>
          <w:lang w:eastAsia="fr-FR"/>
        </w:rPr>
        <w:t>Le rapport se limite à la consommation de produits visant le développement musculaire et la diminution de la masse grasse. Sont donc exclus du rapport les barres énergétiques, produits de récupération et rations d’attente.</w:t>
      </w:r>
    </w:p>
    <w:p w:rsidR="0033086E" w:rsidRPr="0033086E" w:rsidRDefault="0033086E" w:rsidP="00AB50EB">
      <w:pPr>
        <w:jc w:val="both"/>
        <w:rPr>
          <w:sz w:val="18"/>
        </w:rPr>
      </w:pPr>
      <w:r w:rsidRPr="0033086E">
        <w:rPr>
          <w:rFonts w:ascii="Times New Roman" w:hAnsi="Times New Roman"/>
          <w:color w:val="1F497D"/>
          <w:sz w:val="18"/>
          <w:lang w:eastAsia="fr-FR"/>
        </w:rPr>
        <w:t xml:space="preserve">Il préconise d’informer les utilisateurs des risques liés à la consommation de ces substances et à la pratique de régimes amaigrissants sans accompagnement médical. Il apparait nécessaire de prendre conseil auprès d'un médecin, voire d'un préparateur physique dûment formés. </w:t>
      </w:r>
    </w:p>
    <w:p w:rsidR="0033086E" w:rsidRPr="0033086E" w:rsidRDefault="0033086E" w:rsidP="00AB50EB">
      <w:pPr>
        <w:spacing w:before="100" w:beforeAutospacing="1" w:after="100" w:afterAutospacing="1"/>
        <w:jc w:val="both"/>
        <w:rPr>
          <w:sz w:val="18"/>
        </w:rPr>
      </w:pPr>
      <w:r w:rsidRPr="0033086E">
        <w:rPr>
          <w:rFonts w:ascii="Times New Roman" w:hAnsi="Times New Roman"/>
          <w:color w:val="1F497D"/>
          <w:sz w:val="18"/>
          <w:lang w:eastAsia="fr-FR"/>
        </w:rPr>
        <w:t>Le rapport rappelle également que les bénéfices escomptés</w:t>
      </w:r>
      <w:r w:rsidR="00AB50EB">
        <w:rPr>
          <w:rFonts w:ascii="Times New Roman" w:hAnsi="Times New Roman"/>
          <w:color w:val="1F497D"/>
          <w:sz w:val="18"/>
          <w:lang w:eastAsia="fr-FR"/>
        </w:rPr>
        <w:t xml:space="preserve"> des compléments alimentaires</w:t>
      </w:r>
      <w:r w:rsidRPr="0033086E">
        <w:rPr>
          <w:rFonts w:ascii="Times New Roman" w:hAnsi="Times New Roman"/>
          <w:color w:val="1F497D"/>
          <w:sz w:val="18"/>
          <w:lang w:eastAsia="fr-FR"/>
        </w:rPr>
        <w:t xml:space="preserve"> sont très fortement hypothétiques  et donc</w:t>
      </w:r>
      <w:r w:rsidR="00AB50EB">
        <w:rPr>
          <w:rFonts w:ascii="Times New Roman" w:hAnsi="Times New Roman"/>
          <w:color w:val="1F497D"/>
          <w:sz w:val="18"/>
          <w:lang w:eastAsia="fr-FR"/>
        </w:rPr>
        <w:t xml:space="preserve"> que le rapport bénéfice-</w:t>
      </w:r>
      <w:r w:rsidRPr="0033086E">
        <w:rPr>
          <w:rFonts w:ascii="Times New Roman" w:hAnsi="Times New Roman"/>
          <w:color w:val="1F497D"/>
          <w:sz w:val="18"/>
          <w:lang w:eastAsia="fr-FR"/>
        </w:rPr>
        <w:t xml:space="preserve">risque </w:t>
      </w:r>
      <w:r w:rsidR="00AB50EB">
        <w:rPr>
          <w:rFonts w:ascii="Times New Roman" w:hAnsi="Times New Roman"/>
          <w:color w:val="1F497D"/>
          <w:sz w:val="18"/>
          <w:lang w:eastAsia="fr-FR"/>
        </w:rPr>
        <w:t>est probablement défavorable</w:t>
      </w:r>
      <w:r w:rsidRPr="0033086E">
        <w:rPr>
          <w:rFonts w:ascii="Times New Roman" w:hAnsi="Times New Roman"/>
          <w:color w:val="1F497D"/>
          <w:sz w:val="18"/>
          <w:lang w:eastAsia="fr-FR"/>
        </w:rPr>
        <w:t>. Les experts déconseillent leur emploi par des personnes présentant des facteurs de risque cardiovasculaire, une altération de la fonction rénale/ hépatique ou encore de troubles neuropsychiatriques.</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L'agence met également en garde contre les achats sur Internet, où l'on trouve des compléments alimentaires frauduleux potentiellement plus nocifs pour la santé. Ces produits peuvent contenir des substances dopantes non mentionné</w:t>
      </w:r>
      <w:r w:rsidR="00AB50EB">
        <w:rPr>
          <w:rFonts w:ascii="Times New Roman" w:hAnsi="Times New Roman"/>
          <w:color w:val="1F497D"/>
          <w:sz w:val="18"/>
          <w:lang w:eastAsia="fr-FR"/>
        </w:rPr>
        <w:t>es</w:t>
      </w:r>
      <w:r w:rsidRPr="0033086E">
        <w:rPr>
          <w:rFonts w:ascii="Times New Roman" w:hAnsi="Times New Roman"/>
          <w:color w:val="1F497D"/>
          <w:sz w:val="18"/>
          <w:lang w:eastAsia="fr-FR"/>
        </w:rPr>
        <w:t xml:space="preserve"> sur l’étiquette mais pouvant exposer un athlète à un contrôle antidopage positif. Il semble impératif de ne pas consommer de produit ne présentant pas la norme française </w:t>
      </w:r>
      <w:r w:rsidRPr="0033086E">
        <w:rPr>
          <w:rFonts w:ascii="Times New Roman" w:hAnsi="Times New Roman"/>
          <w:b/>
          <w:color w:val="1F497D"/>
          <w:sz w:val="18"/>
          <w:lang w:eastAsia="fr-FR"/>
        </w:rPr>
        <w:t>NF V 94-001</w:t>
      </w:r>
      <w:r w:rsidRPr="0033086E">
        <w:rPr>
          <w:rFonts w:ascii="Times New Roman" w:hAnsi="Times New Roman"/>
          <w:color w:val="1F497D"/>
          <w:sz w:val="18"/>
          <w:lang w:eastAsia="fr-FR"/>
        </w:rPr>
        <w:t xml:space="preserve"> </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En cas de consommation malgré ces avertissements, il est important de ne pas dépasser les doses préconisées par le fabricant et de ne pas consommer deux produits en même temps (risque de surdosage d’une substance commune aux deux compléments !)</w:t>
      </w:r>
    </w:p>
    <w:p w:rsidR="0033086E" w:rsidRPr="0033086E" w:rsidRDefault="0033086E" w:rsidP="00AB50EB">
      <w:pPr>
        <w:spacing w:before="100" w:beforeAutospacing="1" w:after="100" w:afterAutospacing="1"/>
        <w:jc w:val="both"/>
        <w:rPr>
          <w:sz w:val="18"/>
        </w:rPr>
      </w:pPr>
      <w:r w:rsidRPr="0033086E">
        <w:rPr>
          <w:rFonts w:ascii="Times New Roman" w:hAnsi="Times New Roman"/>
          <w:color w:val="1F497D"/>
          <w:sz w:val="18"/>
          <w:lang w:eastAsia="fr-FR"/>
        </w:rPr>
        <w:t xml:space="preserve">Rappelons que la prise de produits contenant de la caféine est déconseillée avant et pendant un effort intense (Risque d’état de mal hyperthermique…). </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Enfin il ne faut pas associer ces compléments alimentaires avec certains médicaments.</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 xml:space="preserve">Nous vous recommandons de vous rapporter aux pages 24 et 25 de la première partie du rapport qui est joint à cet article. </w:t>
      </w:r>
    </w:p>
    <w:p w:rsidR="0033086E" w:rsidRPr="0033086E" w:rsidRDefault="0033086E" w:rsidP="00AB50EB">
      <w:pPr>
        <w:spacing w:before="100" w:beforeAutospacing="1" w:after="100" w:afterAutospacing="1"/>
        <w:jc w:val="both"/>
        <w:rPr>
          <w:rFonts w:ascii="Times New Roman" w:hAnsi="Times New Roman"/>
          <w:color w:val="1F497D"/>
          <w:sz w:val="18"/>
          <w:lang w:eastAsia="fr-FR"/>
        </w:rPr>
      </w:pPr>
      <w:r w:rsidRPr="0033086E">
        <w:rPr>
          <w:rFonts w:ascii="Times New Roman" w:hAnsi="Times New Roman"/>
          <w:color w:val="1F497D"/>
          <w:sz w:val="18"/>
          <w:lang w:eastAsia="fr-FR"/>
        </w:rPr>
        <w:t>Vous y trouverez les principales recommandations du comité d’experts.</w:t>
      </w:r>
    </w:p>
    <w:p w:rsidR="0033086E" w:rsidRPr="0033086E" w:rsidRDefault="0033086E" w:rsidP="0033086E">
      <w:pPr>
        <w:spacing w:before="100" w:beforeAutospacing="1" w:after="100" w:afterAutospacing="1"/>
        <w:jc w:val="both"/>
        <w:rPr>
          <w:rFonts w:ascii="Times New Roman" w:hAnsi="Times New Roman"/>
          <w:color w:val="1F497D"/>
          <w:sz w:val="18"/>
          <w:lang w:eastAsia="fr-FR"/>
        </w:rPr>
      </w:pPr>
    </w:p>
    <w:p w:rsidR="0033086E" w:rsidRPr="0033086E" w:rsidRDefault="0033086E" w:rsidP="00BE50DB">
      <w:pPr>
        <w:ind w:left="1416"/>
        <w:jc w:val="both"/>
        <w:rPr>
          <w:rFonts w:ascii="Times New Roman" w:hAnsi="Times New Roman"/>
          <w:color w:val="1F497D"/>
          <w:sz w:val="18"/>
          <w:lang w:eastAsia="fr-FR"/>
        </w:rPr>
      </w:pPr>
      <w:r w:rsidRPr="0033086E">
        <w:rPr>
          <w:rFonts w:ascii="Times New Roman" w:hAnsi="Times New Roman"/>
          <w:color w:val="1F497D"/>
          <w:sz w:val="18"/>
          <w:lang w:eastAsia="fr-FR"/>
        </w:rPr>
        <w:t>Médecin de classe exceptionnelle Jean Michel Duquesne</w:t>
      </w:r>
      <w:r w:rsidR="00BE50DB">
        <w:rPr>
          <w:rFonts w:ascii="Times New Roman" w:hAnsi="Times New Roman"/>
          <w:color w:val="1F497D"/>
          <w:sz w:val="18"/>
          <w:lang w:eastAsia="fr-FR"/>
        </w:rPr>
        <w:t>, Médecin de chefferie SDIS 78</w:t>
      </w:r>
    </w:p>
    <w:p w:rsidR="0033086E" w:rsidRPr="0033086E" w:rsidRDefault="0033086E" w:rsidP="00BE50DB">
      <w:pPr>
        <w:ind w:left="1416"/>
        <w:jc w:val="both"/>
        <w:rPr>
          <w:rFonts w:ascii="Times New Roman" w:hAnsi="Times New Roman"/>
          <w:color w:val="1F497D"/>
          <w:sz w:val="18"/>
          <w:lang w:eastAsia="fr-FR"/>
        </w:rPr>
      </w:pPr>
      <w:r w:rsidRPr="0033086E">
        <w:rPr>
          <w:rFonts w:ascii="Times New Roman" w:hAnsi="Times New Roman"/>
          <w:color w:val="1F497D"/>
          <w:sz w:val="18"/>
          <w:lang w:eastAsia="fr-FR"/>
        </w:rPr>
        <w:t>Médecin de classe normale Patrick Chemouni</w:t>
      </w:r>
      <w:r w:rsidR="00BE50DB">
        <w:rPr>
          <w:rFonts w:ascii="Times New Roman" w:hAnsi="Times New Roman"/>
          <w:color w:val="1F497D"/>
          <w:sz w:val="18"/>
          <w:lang w:eastAsia="fr-FR"/>
        </w:rPr>
        <w:t xml:space="preserve">, Médecin de groupement </w:t>
      </w:r>
      <w:bookmarkStart w:id="0" w:name="_GoBack"/>
      <w:bookmarkEnd w:id="0"/>
      <w:r w:rsidR="00BE50DB">
        <w:rPr>
          <w:rFonts w:ascii="Times New Roman" w:hAnsi="Times New Roman"/>
          <w:color w:val="1F497D"/>
          <w:sz w:val="18"/>
          <w:lang w:eastAsia="fr-FR"/>
        </w:rPr>
        <w:t>SDIS 78</w:t>
      </w:r>
    </w:p>
    <w:p w:rsidR="00841B21" w:rsidRDefault="00BE50DB" w:rsidP="00BE50DB">
      <w:pPr>
        <w:ind w:left="1416"/>
        <w:jc w:val="both"/>
      </w:pPr>
      <w:r>
        <w:rPr>
          <w:rFonts w:ascii="Times New Roman" w:hAnsi="Times New Roman"/>
          <w:color w:val="1F497D"/>
          <w:sz w:val="18"/>
          <w:lang w:eastAsia="fr-FR"/>
        </w:rPr>
        <w:t>Commandant Patrick Racoua, SQVS et chef du service activité physique et sportive SDIS 78</w:t>
      </w:r>
    </w:p>
    <w:sectPr w:rsidR="00841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6E"/>
    <w:rsid w:val="0033086E"/>
    <w:rsid w:val="00841B21"/>
    <w:rsid w:val="00AB50EB"/>
    <w:rsid w:val="00B9554F"/>
    <w:rsid w:val="00BC7362"/>
    <w:rsid w:val="00BE5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6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554F"/>
    <w:rPr>
      <w:rFonts w:ascii="Tahoma" w:hAnsi="Tahoma" w:cs="Tahoma"/>
      <w:sz w:val="16"/>
      <w:szCs w:val="16"/>
    </w:rPr>
  </w:style>
  <w:style w:type="character" w:customStyle="1" w:styleId="TextedebullesCar">
    <w:name w:val="Texte de bulles Car"/>
    <w:basedOn w:val="Policepardfaut"/>
    <w:link w:val="Textedebulles"/>
    <w:uiPriority w:val="99"/>
    <w:semiHidden/>
    <w:rsid w:val="00B95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6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554F"/>
    <w:rPr>
      <w:rFonts w:ascii="Tahoma" w:hAnsi="Tahoma" w:cs="Tahoma"/>
      <w:sz w:val="16"/>
      <w:szCs w:val="16"/>
    </w:rPr>
  </w:style>
  <w:style w:type="character" w:customStyle="1" w:styleId="TextedebullesCar">
    <w:name w:val="Texte de bulles Car"/>
    <w:basedOn w:val="Policepardfaut"/>
    <w:link w:val="Textedebulles"/>
    <w:uiPriority w:val="99"/>
    <w:semiHidden/>
    <w:rsid w:val="00B95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Chemouni</dc:creator>
  <cp:lastModifiedBy>Patrick Chemouni</cp:lastModifiedBy>
  <cp:revision>4</cp:revision>
  <dcterms:created xsi:type="dcterms:W3CDTF">2016-12-22T15:13:00Z</dcterms:created>
  <dcterms:modified xsi:type="dcterms:W3CDTF">2016-12-23T10:00:00Z</dcterms:modified>
</cp:coreProperties>
</file>